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A1D2A" w:rsidRDefault="00934AC1" w:rsidP="00AD0585">
      <w:pPr>
        <w:pBdr>
          <w:top w:val="single" w:sz="4" w:space="1" w:color="auto"/>
          <w:left w:val="single" w:sz="4" w:space="4" w:color="auto"/>
          <w:bottom w:val="single" w:sz="4" w:space="1" w:color="auto"/>
          <w:right w:val="single" w:sz="4" w:space="4" w:color="auto"/>
        </w:pBdr>
        <w:shd w:val="clear" w:color="auto" w:fill="BFBFBF"/>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2325E4" w:rsidRDefault="00546919" w:rsidP="00AD0585">
      <w:pPr>
        <w:pBdr>
          <w:top w:val="single" w:sz="4" w:space="1" w:color="auto"/>
          <w:left w:val="single" w:sz="4" w:space="4" w:color="auto"/>
          <w:bottom w:val="single" w:sz="4" w:space="1" w:color="auto"/>
          <w:right w:val="single" w:sz="4" w:space="4" w:color="auto"/>
        </w:pBdr>
        <w:shd w:val="clear" w:color="auto" w:fill="BFBFBF"/>
        <w:rPr>
          <w:b/>
          <w:sz w:val="22"/>
        </w:rPr>
      </w:pPr>
      <w:hyperlink r:id="rId8" w:history="1">
        <w:r w:rsidR="002325E4" w:rsidRPr="005B25C6">
          <w:rPr>
            <w:rStyle w:val="Hyperlink"/>
            <w:szCs w:val="24"/>
          </w:rPr>
          <w:t>http://www.kznpp.org/index.php?lang=bg&amp;p=actuality&amp;p1=communally_orders&amp;id=4053</w:t>
        </w:r>
      </w:hyperlink>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2325E4">
        <w:trPr>
          <w:trHeight w:val="406"/>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2325E4">
        <w:trPr>
          <w:trHeight w:val="611"/>
        </w:trPr>
        <w:tc>
          <w:tcPr>
            <w:tcW w:w="4644" w:type="dxa"/>
            <w:shd w:val="clear" w:color="auto" w:fill="auto"/>
          </w:tcPr>
          <w:p w:rsidR="00934AC1" w:rsidRPr="002325E4" w:rsidRDefault="00934AC1" w:rsidP="00934AC1">
            <w:pPr>
              <w:rPr>
                <w:sz w:val="22"/>
              </w:rPr>
            </w:pPr>
            <w:r w:rsidRPr="002325E4">
              <w:rPr>
                <w:sz w:val="22"/>
              </w:rPr>
              <w:lastRenderedPageBreak/>
              <w:t>Название или кратко описание на поръчката</w:t>
            </w:r>
            <w:r w:rsidRPr="002325E4">
              <w:rPr>
                <w:rStyle w:val="FootnoteReference"/>
                <w:sz w:val="22"/>
              </w:rPr>
              <w:footnoteReference w:id="4"/>
            </w:r>
            <w:r w:rsidRPr="002325E4">
              <w:rPr>
                <w:sz w:val="22"/>
              </w:rPr>
              <w:t>:</w:t>
            </w:r>
          </w:p>
        </w:tc>
        <w:tc>
          <w:tcPr>
            <w:tcW w:w="4645" w:type="dxa"/>
            <w:shd w:val="clear" w:color="auto" w:fill="auto"/>
          </w:tcPr>
          <w:p w:rsidR="00934AC1" w:rsidRPr="002325E4" w:rsidRDefault="002325E4" w:rsidP="00F55029">
            <w:pPr>
              <w:widowControl w:val="0"/>
              <w:spacing w:line="320" w:lineRule="exact"/>
              <w:rPr>
                <w:b/>
                <w:sz w:val="22"/>
              </w:rPr>
            </w:pPr>
            <w:r w:rsidRPr="002325E4">
              <w:rPr>
                <w:b/>
                <w:color w:val="000000"/>
                <w:sz w:val="22"/>
              </w:rPr>
              <w:t>Изпълнение на ремонтни и електромонтажни дейности по основно и спомагателно оборудване и системи на ядрени енергийни блокове 5 и 6 по време и/или свързани с плановите годишни ремонти през 2019 г.</w:t>
            </w:r>
          </w:p>
        </w:tc>
      </w:tr>
      <w:tr w:rsidR="00934AC1" w:rsidRPr="00D17798" w:rsidTr="00C20C95">
        <w:trPr>
          <w:trHeight w:val="484"/>
        </w:trPr>
        <w:tc>
          <w:tcPr>
            <w:tcW w:w="4644" w:type="dxa"/>
            <w:shd w:val="clear" w:color="auto" w:fill="auto"/>
          </w:tcPr>
          <w:p w:rsidR="00934AC1" w:rsidRPr="00D17798" w:rsidRDefault="00934AC1" w:rsidP="00934AC1">
            <w:r w:rsidRPr="00D17798">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2A1D2A" w:rsidP="00934AC1">
            <w:pPr>
              <w:rPr>
                <w:lang w:val="en-US"/>
              </w:rPr>
            </w:pPr>
            <w:r>
              <w:rPr>
                <w:sz w:val="22"/>
              </w:rPr>
              <w:t>ОП-</w:t>
            </w:r>
            <w:r w:rsidR="00246621">
              <w:t xml:space="preserve"> </w:t>
            </w:r>
            <w:r w:rsidR="00246621" w:rsidRPr="00246621">
              <w:rPr>
                <w:sz w:val="22"/>
              </w:rPr>
              <w:t>39888</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w:t>
            </w:r>
            <w:r w:rsidRPr="00D17798">
              <w:rPr>
                <w:sz w:val="22"/>
              </w:rPr>
              <w:lastRenderedPageBreak/>
              <w:t>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lastRenderedPageBreak/>
              <w:br/>
            </w:r>
            <w:r w:rsidRPr="00D17798">
              <w:rPr>
                <w:sz w:val="22"/>
              </w:rPr>
              <w:t xml:space="preserve">д) [] Да [] </w:t>
            </w:r>
            <w:r w:rsidRPr="00D17798">
              <w:t>Не</w:t>
            </w:r>
            <w:r w:rsidRPr="00D17798">
              <w:br/>
            </w:r>
            <w:r w:rsidRPr="00D17798">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lastRenderedPageBreak/>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lastRenderedPageBreak/>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lastRenderedPageBreak/>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lastRenderedPageBreak/>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lastRenderedPageBreak/>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w:t>
            </w:r>
            <w:r w:rsidR="00934AC1" w:rsidRPr="00D17798">
              <w:rPr>
                <w:b/>
                <w:i/>
                <w:sz w:val="22"/>
              </w:rPr>
              <w:lastRenderedPageBreak/>
              <w:t>изключване</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lastRenderedPageBreak/>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 xml:space="preserve">Той е вписан в съответния </w:t>
            </w:r>
            <w:r w:rsidRPr="00827C5F">
              <w:rPr>
                <w:b/>
                <w:sz w:val="22"/>
              </w:rPr>
              <w:lastRenderedPageBreak/>
              <w:t>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w:t>
            </w:r>
            <w:r w:rsidRPr="00827C5F">
              <w:rPr>
                <w:sz w:val="22"/>
              </w:rPr>
              <w:br/>
            </w:r>
            <w:r w:rsidRPr="00827C5F">
              <w:rPr>
                <w:sz w:val="22"/>
              </w:rPr>
              <w:lastRenderedPageBreak/>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lastRenderedPageBreak/>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 xml:space="preserve">оборот в областта и за броя години, изисквани в </w:t>
            </w:r>
            <w:r w:rsidRPr="00827C5F">
              <w:rPr>
                <w:b/>
                <w:sz w:val="22"/>
              </w:rPr>
              <w:lastRenderedPageBreak/>
              <w:t>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lastRenderedPageBreak/>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w:t>
            </w:r>
            <w:r w:rsidRPr="00D17798">
              <w:rPr>
                <w:sz w:val="22"/>
              </w:rPr>
              <w:lastRenderedPageBreak/>
              <w:t>[……],[……][…]валута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lastRenderedPageBreak/>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lastRenderedPageBreak/>
              <w:br/>
            </w:r>
            <w:r w:rsidRPr="00D17798">
              <w:br/>
            </w:r>
            <w:r w:rsidRPr="00D17798">
              <w:br/>
            </w:r>
            <w:r w:rsidRPr="00D17798">
              <w:rPr>
                <w:sz w:val="22"/>
              </w:rPr>
              <w:lastRenderedPageBreak/>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lastRenderedPageBreak/>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lastRenderedPageBreak/>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lastRenderedPageBreak/>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w:t>
            </w:r>
            <w:r w:rsidRPr="00827C5F">
              <w:rPr>
                <w:sz w:val="22"/>
              </w:rPr>
              <w:lastRenderedPageBreak/>
              <w:t xml:space="preserve">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lastRenderedPageBreak/>
              <w:t>[] Да [] Не</w:t>
            </w:r>
            <w:r w:rsidRPr="00D17798">
              <w:br/>
            </w:r>
            <w:r w:rsidRPr="00D17798">
              <w:lastRenderedPageBreak/>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2325E4">
      <w:footerReference w:type="default" r:id="rId9"/>
      <w:pgSz w:w="11907" w:h="16839"/>
      <w:pgMar w:top="1134" w:right="1417" w:bottom="993"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9E3" w:rsidRDefault="009309E3" w:rsidP="00934AC1">
      <w:pPr>
        <w:spacing w:before="0" w:after="0"/>
      </w:pPr>
      <w:r>
        <w:separator/>
      </w:r>
    </w:p>
  </w:endnote>
  <w:endnote w:type="continuationSeparator" w:id="0">
    <w:p w:rsidR="009309E3" w:rsidRDefault="009309E3"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9E3" w:rsidRPr="00446950" w:rsidRDefault="009309E3" w:rsidP="00446950">
    <w:pPr>
      <w:pStyle w:val="Footer"/>
      <w:rPr>
        <w:rFonts w:ascii="Arial" w:hAnsi="Arial" w:cs="Arial"/>
        <w:b/>
        <w:sz w:val="48"/>
      </w:rPr>
    </w:pPr>
    <w:r w:rsidRPr="00446950">
      <w:rPr>
        <w:rFonts w:ascii="Arial" w:hAnsi="Arial" w:cs="Arial"/>
        <w:b/>
        <w:sz w:val="48"/>
      </w:rPr>
      <w:tab/>
    </w:r>
    <w:r w:rsidR="00546919">
      <w:fldChar w:fldCharType="begin"/>
    </w:r>
    <w:r w:rsidR="00F72965">
      <w:instrText xml:space="preserve"> PAGE  \* MERGEFORMAT </w:instrText>
    </w:r>
    <w:r w:rsidR="00546919">
      <w:fldChar w:fldCharType="separate"/>
    </w:r>
    <w:r w:rsidR="00246621">
      <w:rPr>
        <w:noProof/>
      </w:rPr>
      <w:t>2</w:t>
    </w:r>
    <w:r w:rsidR="00546919">
      <w:fldChar w:fldCharType="end"/>
    </w:r>
    <w:r>
      <w:tab/>
    </w:r>
    <w:fldSimple w:instr=" DOCVARIABLE &quot;LW_Confidence&quot; \* MERGEFORMAT ">
      <w:r w:rsidR="00315A76">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9E3" w:rsidRDefault="009309E3" w:rsidP="00934AC1">
      <w:pPr>
        <w:spacing w:before="0" w:after="0"/>
      </w:pPr>
      <w:r>
        <w:separator/>
      </w:r>
    </w:p>
  </w:footnote>
  <w:footnote w:type="continuationSeparator" w:id="0">
    <w:p w:rsidR="009309E3" w:rsidRDefault="009309E3" w:rsidP="00934AC1">
      <w:pPr>
        <w:spacing w:before="0" w:after="0"/>
      </w:pPr>
      <w:r>
        <w:continuationSeparator/>
      </w:r>
    </w:p>
  </w:footnote>
  <w:footnote w:id="1">
    <w:p w:rsidR="009309E3" w:rsidRPr="001A2A2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09E3" w:rsidRPr="00011DC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09E3" w:rsidRPr="00F74DE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09E3" w:rsidRPr="00CC374C"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9309E3" w:rsidRPr="0060365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9309E3" w:rsidRPr="002C475F"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09E3" w:rsidRPr="00AD02D8"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09E3" w:rsidRPr="00123AA0" w:rsidRDefault="009309E3"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20"/>
  <w:hyphenationZone w:val="425"/>
  <w:characterSpacingControl w:val="doNotCompress"/>
  <w:hdrShapeDefaults>
    <o:shapedefaults v:ext="edit" spidmax="25601"/>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52F99"/>
    <w:rsid w:val="00167B3C"/>
    <w:rsid w:val="00170980"/>
    <w:rsid w:val="00181329"/>
    <w:rsid w:val="00197AA8"/>
    <w:rsid w:val="001B6CA9"/>
    <w:rsid w:val="001B76D0"/>
    <w:rsid w:val="001F5ADF"/>
    <w:rsid w:val="002203AC"/>
    <w:rsid w:val="002325E4"/>
    <w:rsid w:val="0023463F"/>
    <w:rsid w:val="002413F2"/>
    <w:rsid w:val="00246621"/>
    <w:rsid w:val="002A1D2A"/>
    <w:rsid w:val="002B68C6"/>
    <w:rsid w:val="002E2074"/>
    <w:rsid w:val="002E5915"/>
    <w:rsid w:val="00302A28"/>
    <w:rsid w:val="00311A5E"/>
    <w:rsid w:val="00315A76"/>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0002E"/>
    <w:rsid w:val="0054356F"/>
    <w:rsid w:val="00546919"/>
    <w:rsid w:val="0055395B"/>
    <w:rsid w:val="00584099"/>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B569C"/>
    <w:rsid w:val="007D43B2"/>
    <w:rsid w:val="007F071F"/>
    <w:rsid w:val="00804540"/>
    <w:rsid w:val="00806039"/>
    <w:rsid w:val="00816CF6"/>
    <w:rsid w:val="00822E2D"/>
    <w:rsid w:val="00827C5F"/>
    <w:rsid w:val="0085162E"/>
    <w:rsid w:val="00851A30"/>
    <w:rsid w:val="00853284"/>
    <w:rsid w:val="0087012C"/>
    <w:rsid w:val="008C16BD"/>
    <w:rsid w:val="008D0657"/>
    <w:rsid w:val="008D68EC"/>
    <w:rsid w:val="00902A45"/>
    <w:rsid w:val="0090436C"/>
    <w:rsid w:val="00913001"/>
    <w:rsid w:val="0092530A"/>
    <w:rsid w:val="009309E3"/>
    <w:rsid w:val="00934AC1"/>
    <w:rsid w:val="0097118C"/>
    <w:rsid w:val="0099241A"/>
    <w:rsid w:val="00A050B8"/>
    <w:rsid w:val="00A07265"/>
    <w:rsid w:val="00A12D4C"/>
    <w:rsid w:val="00A3003C"/>
    <w:rsid w:val="00A46018"/>
    <w:rsid w:val="00A739D0"/>
    <w:rsid w:val="00A9384F"/>
    <w:rsid w:val="00AA7755"/>
    <w:rsid w:val="00AC3A60"/>
    <w:rsid w:val="00AC519B"/>
    <w:rsid w:val="00AD02D8"/>
    <w:rsid w:val="00AD0585"/>
    <w:rsid w:val="00AD3CD7"/>
    <w:rsid w:val="00B001FD"/>
    <w:rsid w:val="00B36111"/>
    <w:rsid w:val="00B37880"/>
    <w:rsid w:val="00B4041D"/>
    <w:rsid w:val="00B62562"/>
    <w:rsid w:val="00B81791"/>
    <w:rsid w:val="00B86259"/>
    <w:rsid w:val="00BC0EB3"/>
    <w:rsid w:val="00BE08B3"/>
    <w:rsid w:val="00BE0A13"/>
    <w:rsid w:val="00BE162E"/>
    <w:rsid w:val="00C0235C"/>
    <w:rsid w:val="00C107F7"/>
    <w:rsid w:val="00C17E9E"/>
    <w:rsid w:val="00C20C95"/>
    <w:rsid w:val="00C24235"/>
    <w:rsid w:val="00C32944"/>
    <w:rsid w:val="00C42B5F"/>
    <w:rsid w:val="00C55D7C"/>
    <w:rsid w:val="00C66B6B"/>
    <w:rsid w:val="00C757DA"/>
    <w:rsid w:val="00C95850"/>
    <w:rsid w:val="00CB1E26"/>
    <w:rsid w:val="00CD03BF"/>
    <w:rsid w:val="00CD0473"/>
    <w:rsid w:val="00D15D85"/>
    <w:rsid w:val="00D17798"/>
    <w:rsid w:val="00D20C5B"/>
    <w:rsid w:val="00D43449"/>
    <w:rsid w:val="00D81BDA"/>
    <w:rsid w:val="00D916BB"/>
    <w:rsid w:val="00DC0337"/>
    <w:rsid w:val="00DC528F"/>
    <w:rsid w:val="00E354E3"/>
    <w:rsid w:val="00E5255E"/>
    <w:rsid w:val="00E54FBC"/>
    <w:rsid w:val="00E61423"/>
    <w:rsid w:val="00E64A7F"/>
    <w:rsid w:val="00E65754"/>
    <w:rsid w:val="00E67BA0"/>
    <w:rsid w:val="00E72373"/>
    <w:rsid w:val="00E82BD7"/>
    <w:rsid w:val="00EF348C"/>
    <w:rsid w:val="00F07C96"/>
    <w:rsid w:val="00F103F6"/>
    <w:rsid w:val="00F11C76"/>
    <w:rsid w:val="00F53B19"/>
    <w:rsid w:val="00F547B1"/>
    <w:rsid w:val="00F55029"/>
    <w:rsid w:val="00F64809"/>
    <w:rsid w:val="00F72965"/>
    <w:rsid w:val="00F9349C"/>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character" w:styleId="FollowedHyperlink">
    <w:name w:val="FollowedHyperlink"/>
    <w:basedOn w:val="DefaultParagraphFont"/>
    <w:uiPriority w:val="99"/>
    <w:semiHidden/>
    <w:unhideWhenUsed/>
    <w:rsid w:val="002325E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405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844F8-63C9-403C-8F24-94BCDDAC8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2</TotalTime>
  <Pages>19</Pages>
  <Words>4573</Words>
  <Characters>26069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4</cp:revision>
  <cp:lastPrinted>2018-10-16T11:50:00Z</cp:lastPrinted>
  <dcterms:created xsi:type="dcterms:W3CDTF">2018-10-16T11:50:00Z</dcterms:created>
  <dcterms:modified xsi:type="dcterms:W3CDTF">2018-10-30T09:39:00Z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